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ind w:firstLine="709"/>
        <w:contextualSpacing/>
        <w:jc w:val="center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ТЕХНИЧЕСКОЕ ЗАДАНИЕ</w:t>
      </w:r>
    </w:p>
    <w:p>
      <w:pPr>
        <w:pStyle w:val="Normal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tbl>
      <w:tblPr>
        <w:tblW w:w="973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04"/>
        <w:gridCol w:w="2547"/>
        <w:gridCol w:w="6479"/>
      </w:tblGrid>
      <w:tr>
        <w:trPr>
          <w:trHeight w:val="81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Описание услуг</w:t>
            </w:r>
          </w:p>
        </w:tc>
      </w:tr>
      <w:tr>
        <w:trPr>
          <w:trHeight w:val="229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Оказываемые услуги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</w:tc>
      </w:tr>
      <w:tr>
        <w:trPr>
          <w:trHeight w:val="41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оказания услуг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>
                <w:color w:val="000000"/>
              </w:rPr>
            </w:pPr>
            <w:r>
              <w:rPr>
                <w:color w:val="000000"/>
              </w:rPr>
              <w:t>Закрепление права интеллектуальной собственности на продукцию, разработанную и выпускаемую Получателем поддержки</w:t>
            </w:r>
          </w:p>
        </w:tc>
      </w:tr>
      <w:tr>
        <w:trPr>
          <w:trHeight w:val="90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экспортно ориентированного СМСП Получателя поддержки (Заказчик)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>
                <w:color w:val="000000"/>
              </w:rPr>
            </w:pPr>
            <w:r>
              <w:rPr>
                <w:color w:val="000000"/>
              </w:rPr>
              <w:t>ООО «МБС»</w:t>
            </w:r>
          </w:p>
        </w:tc>
      </w:tr>
      <w:tr>
        <w:trPr>
          <w:trHeight w:val="147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 деятельности экспортно ориентированного СМСП Получателя поддержки </w:t>
              <w:br/>
              <w:t>(по ОКВЭД2, расшифровка)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Торговля оптовая электрической бытовой техникой (46.43.1)</w:t>
            </w:r>
          </w:p>
          <w:p>
            <w:pPr>
              <w:pStyle w:val="Normal"/>
              <w:spacing w:lineRule="auto" w:line="25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7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 </w:t>
              <w:br/>
              <w:t>к Исполнителю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>
                <w:color w:val="000000"/>
              </w:rPr>
              <w:t>Исполнитель должен иметь опыт оказания услуг в области обеспечения защиты и оформления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Федерации. Опыт подтверждается копиями договоров на оказание услуг или актов оказанных услуг, соответствующих предмету оказываемой услуги (не менее 2х договоров и 2х актов).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color w:val="000000"/>
              </w:rPr>
            </w:pPr>
            <w:r>
              <w:rPr>
                <w:color w:val="000000"/>
              </w:rPr>
              <w:t>Срок оказания услуг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Не позднее 15.12.2022 года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Состав оказываемых услуг</w:t>
            </w:r>
          </w:p>
        </w:tc>
      </w:tr>
      <w:tr>
        <w:trPr>
          <w:trHeight w:val="127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Проведение поиска на предмет наличия тождественных товарных знаков в ОАЭ и оценка возможных рисков в последующей регистрации;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Подготовка документов, подача заяв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на регистрацию </w:t>
            </w:r>
            <w:r>
              <w:rPr>
                <w:color w:val="000000"/>
              </w:rPr>
              <w:t>двух товарных знаков, а именно:</w:t>
            </w:r>
            <w:r>
              <w:rPr>
                <w:color w:val="000000"/>
              </w:rPr>
              <w:t xml:space="preserve"> товарн</w:t>
            </w:r>
            <w:r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знак</w:t>
            </w:r>
            <w:r>
              <w:rPr>
                <w:color w:val="000000"/>
              </w:rPr>
              <w:t>а в 12-ом классе МКТУ и товарного знака в 35-ом классе МКТУ;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едение делопроизводства в отношении </w:t>
            </w:r>
            <w:r>
              <w:rPr>
                <w:color w:val="000000"/>
              </w:rPr>
              <w:t xml:space="preserve">данных </w:t>
            </w:r>
            <w:r>
              <w:rPr>
                <w:color w:val="000000"/>
              </w:rPr>
              <w:t xml:space="preserve">заявок, поданных в </w:t>
            </w:r>
            <w:bookmarkStart w:id="0" w:name="__DdeLink__791_2891041155"/>
            <w:r>
              <w:rPr>
                <w:color w:val="000000"/>
              </w:rPr>
              <w:t>Департамент товарных знаков и интеллектуальных работ Министерства экономики ОАЭ</w:t>
            </w:r>
            <w:bookmarkEnd w:id="0"/>
            <w:r>
              <w:rPr>
                <w:color w:val="000000"/>
              </w:rPr>
              <w:t>;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Оплата пошлины в Министерство экономики ОАЭ.</w:t>
            </w:r>
          </w:p>
        </w:tc>
      </w:tr>
      <w:tr>
        <w:trPr>
          <w:trHeight w:val="28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оказанию услуг</w:t>
            </w:r>
          </w:p>
        </w:tc>
      </w:tr>
      <w:tr>
        <w:trPr>
          <w:trHeight w:val="297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1.Услуги оказываются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2. Осуществление Исполнителем последующего обслуживания по делопроизводству на всех стадиях регистрации международного товарного знака в течение 18 месяцев с момента подачи заявки, включено в стоимость договора и содержит в т.ч.:</w:t>
            </w:r>
          </w:p>
          <w:p>
            <w:pPr>
              <w:pStyle w:val="Normal"/>
              <w:spacing w:lineRule="auto" w:line="252"/>
              <w:jc w:val="both"/>
              <w:rPr>
                <w:rFonts w:ascii="Calibri" w:hAnsi="Calibri" w:eastAsia="Calibri" w:cs="Calibri"/>
              </w:rPr>
            </w:pPr>
            <w:r>
              <w:rPr>
                <w:color w:val="000000"/>
              </w:rPr>
              <w:t>- ответы на запросы и уведомления;</w:t>
            </w:r>
          </w:p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3. Исполнитель несёт расходы по оплате пошлин, указанных в п. 2 настоящего технического задания</w:t>
            </w:r>
          </w:p>
          <w:p>
            <w:pPr>
              <w:pStyle w:val="Normal"/>
              <w:spacing w:lineRule="auto" w:line="252"/>
              <w:jc w:val="both"/>
              <w:rPr>
                <w:rFonts w:ascii="Calibri" w:hAnsi="Calibri" w:eastAsia="Calibri" w:cs="Calibri"/>
              </w:rPr>
            </w:pPr>
            <w:r>
              <w:rPr>
                <w:color w:val="000000"/>
              </w:rPr>
              <w:t>4. В случае наличия сходных товарных знаков и высокого риска отказа в регистрации заявляемого Заказчиком товарного знака, перед подготовкой документов и подачей заявки Исполнитель за свой счет дорабатывает и согласовывает товарный знак с Заказчиком.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составу и оформлению отчётной документации по оказываемым услугам</w:t>
            </w:r>
          </w:p>
        </w:tc>
      </w:tr>
      <w:tr>
        <w:trPr>
          <w:trHeight w:val="81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Вид отчетной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>
                <w:color w:val="000000"/>
              </w:rPr>
            </w:pPr>
            <w:r>
              <w:rPr>
                <w:color w:val="000000"/>
              </w:rPr>
              <w:t>Для Заказчика: оригиналы документов.</w:t>
            </w:r>
          </w:p>
          <w:p>
            <w:pPr>
              <w:pStyle w:val="Normal"/>
              <w:spacing w:lineRule="auto" w:line="252"/>
              <w:rPr>
                <w:color w:val="000000"/>
              </w:rPr>
            </w:pPr>
            <w:r>
              <w:rPr>
                <w:color w:val="000000"/>
              </w:rPr>
              <w:t>Для ЦПЭ: заверенные копии документов.</w:t>
            </w:r>
          </w:p>
        </w:tc>
      </w:tr>
      <w:tr>
        <w:trPr>
          <w:trHeight w:val="129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отчётной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Отчет о проведенном поиске на предмет наличия тождественных товарных знаков в ОАЭ;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color w:val="000000"/>
              </w:rPr>
              <w:t>Акт оказываемых услуг, копия уведомления о поступлении национальных заявок на регистрацию двух товарных знаков в Департамент товарных знаков и интеллектуальных работ Министерства экономики ОАЭ.</w:t>
            </w:r>
          </w:p>
        </w:tc>
      </w:tr>
      <w:tr>
        <w:trPr>
          <w:trHeight w:val="108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Отчетная документация оформляется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передаче отчётной документации по оказываемым услугам</w:t>
            </w:r>
          </w:p>
        </w:tc>
      </w:tr>
      <w:tr>
        <w:trPr>
          <w:trHeight w:val="157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передаваемых экземпляров отчётной документации </w:t>
              <w:br/>
              <w:t>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бумажном варианте: </w:t>
            </w:r>
          </w:p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2 (двух) экземплярах: один – для Заказчика, </w:t>
            </w:r>
          </w:p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один – для ЦПЭ.</w:t>
            </w:r>
          </w:p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В электронном виде:</w:t>
            </w:r>
          </w:p>
          <w:p>
            <w:pPr>
              <w:pStyle w:val="Normal"/>
              <w:spacing w:lineRule="auto" w: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2 (двух) экземплярах: один – для Заказчика, </w:t>
            </w:r>
          </w:p>
          <w:p>
            <w:pPr>
              <w:pStyle w:val="Normal"/>
              <w:spacing w:lineRule="auto" w:line="252"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один – для ЦПЭ, в форматах MS Word и PDF на электронных носителях.</w:t>
            </w:r>
          </w:p>
        </w:tc>
      </w:tr>
    </w:tbl>
    <w:p>
      <w:pPr>
        <w:pStyle w:val="Normal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tbl>
      <w:tblPr>
        <w:tblW w:w="104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35"/>
        <w:gridCol w:w="5234"/>
      </w:tblGrid>
      <w:tr>
        <w:trPr/>
        <w:tc>
          <w:tcPr>
            <w:tcW w:w="5235" w:type="dxa"/>
            <w:tcBorders/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</w:tr>
      <w:tr>
        <w:trPr/>
        <w:tc>
          <w:tcPr>
            <w:tcW w:w="5235" w:type="dxa"/>
            <w:tcBorders/>
            <w:shd w:fill="auto" w:val="clear"/>
          </w:tcPr>
          <w:p>
            <w:pPr>
              <w:pStyle w:val="Normal"/>
              <w:spacing w:lineRule="auto" w:line="25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5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tbl>
      <w:tblPr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29"/>
        <w:gridCol w:w="2502"/>
        <w:gridCol w:w="2459"/>
        <w:gridCol w:w="2554"/>
      </w:tblGrid>
      <w:tr>
        <w:trPr/>
        <w:tc>
          <w:tcPr>
            <w:tcW w:w="1829" w:type="dxa"/>
            <w:tcBorders/>
            <w:shd w:fill="auto" w:val="clear"/>
          </w:tcPr>
          <w:p>
            <w:pPr>
              <w:pStyle w:val="Normal"/>
              <w:spacing w:lineRule="auto" w:line="2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Директор 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</w:t>
            </w:r>
          </w:p>
        </w:tc>
      </w:tr>
      <w:tr>
        <w:trPr>
          <w:trHeight w:val="70" w:hRule="atLeast"/>
        </w:trPr>
        <w:tc>
          <w:tcPr>
            <w:tcW w:w="1829" w:type="dxa"/>
            <w:tcBorders/>
            <w:shd w:fill="auto" w:val="clear"/>
          </w:tcPr>
          <w:p>
            <w:pPr>
              <w:pStyle w:val="Normal"/>
              <w:spacing w:lineRule="auto" w:line="2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50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  <w:p>
            <w:pPr>
              <w:pStyle w:val="Normal"/>
              <w:spacing w:lineRule="auto" w:line="2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5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(ФИО)</w:t>
            </w:r>
          </w:p>
        </w:tc>
      </w:tr>
    </w:tbl>
    <w:p>
      <w:pPr>
        <w:pStyle w:val="Normal"/>
        <w:rPr>
          <w:rFonts w:ascii="Calibri" w:hAnsi="Calibri" w:eastAsia="Calibri" w:cs="Calibri"/>
          <w:szCs w:val="24"/>
        </w:rPr>
      </w:pPr>
      <w:r>
        <w:rPr>
          <w:rFonts w:eastAsia="Calibri" w:cs="Calibri" w:ascii="Calibri" w:hAnsi="Calibri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5b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Neat_Office/6.2.8.2$Windows_x86 LibreOffice_project/</Application>
  <Pages>2</Pages>
  <Words>536</Words>
  <Characters>3669</Characters>
  <CharactersWithSpaces>4148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2022-04-18T06:46:00Z</dcterms:created>
  <dc:creator>Дарья Буздина</dc:creator>
  <dc:description/>
  <dc:language>ru-RU</dc:language>
  <cp:lastModifiedBy/>
  <dcterms:modified xsi:type="dcterms:W3CDTF">2022-06-09T17:10:23Z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